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Условия охраны здоровья </w:t>
      </w:r>
      <w:proofErr w:type="gramStart"/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обучающихся</w:t>
      </w:r>
      <w:proofErr w:type="gramEnd"/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в том числе инвалидов и лиц с ограниченными возможностями здоровья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в </w:t>
      </w:r>
      <w:r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ГКОУ РД «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Хамзаюртовский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 лицей 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Казбековского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 района»</w:t>
      </w:r>
    </w:p>
    <w:p w:rsidR="007621D9" w:rsidRPr="007621D9" w:rsidRDefault="007621D9" w:rsidP="007621D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7621D9" w:rsidRPr="007621D9" w:rsidRDefault="007621D9" w:rsidP="007621D9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«Средняя  школа № 48» создаёт условия, гарантирующие охрану и укрепление здоровья учащихся.  Основные направления охраны здоровья: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организация питания учащихся;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определение оптимальной учебной,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внеучебной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нагрузки, режима учебных занятий и продолжительности каникул;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обеспечение безопасности учащихся во время пребывания в школе;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профилактика несчастных случаев с учащимися во время пребывания в школе;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Оказание первичной медико-санитарной помощи.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7621D9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медицинских</w:t>
      </w:r>
      <w:proofErr w:type="gramEnd"/>
      <w:r w:rsidRPr="007621D9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ГУЗ ЯО Детская поликлиника № 5.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Организации питания учащихся.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При организации питания школа руководствуется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СанПиН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СанПиН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созданы следующие условия для организации питания учащихся: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торговотехнологическим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, холодильным,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весоизмерительным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), инвентарём;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предусмотрены помеще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ния для приёма пищи (47</w:t>
      </w: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посадочных мест);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lastRenderedPageBreak/>
        <w:t> • разработан и утверждён порядок питания учащихся (режим работы столовой, время перемен для принятия пищи).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Определение оптимальной учебной, </w:t>
      </w:r>
      <w:proofErr w:type="spellStart"/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внеучебной</w:t>
      </w:r>
      <w:proofErr w:type="spellEnd"/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 xml:space="preserve"> нагрузки, режима учебных занятий и продолжительности каникул.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        </w:t>
      </w: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На основании пунктов 15—17 приказа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здоровьесберегающее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здоровьесберегающими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игры», «Волейбол», «Футбол», «Лыжи», «Спортивная стрельба», ОФП. В плане работы школы запланированы дни здоровья, участие школьных спортивных команд во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внутришкольных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ГУЗ ЯО Детская поликлиника № 5, специалистами Городского центра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психолого-медико-социального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сопровождения.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Прохождение учащимися периодических медицинских осмотров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и диспансеризации.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</w:t>
      </w: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lastRenderedPageBreak/>
        <w:t xml:space="preserve">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девиантного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психолого-медико-социального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сопровождения. </w:t>
      </w:r>
    </w:p>
    <w:p w:rsidR="007621D9" w:rsidRPr="007621D9" w:rsidRDefault="007621D9" w:rsidP="007621D9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Система обеспечения безопасности учащихся во время пребывания в школе.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Минобрнауки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от</w:t>
      </w:r>
      <w:proofErr w:type="gram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г.№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Информационная безопасность (письмо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Минздравсоцразвития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• </w:t>
      </w:r>
      <w:proofErr w:type="spell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Электробезопасность</w:t>
      </w:r>
      <w:proofErr w:type="spell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- </w:t>
      </w: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Официальный</w:t>
      </w:r>
      <w:proofErr w:type="gramEnd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сайта школы адаптирован для лиц с нарушением зрения (слабовидящих);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Профилактика несчастных случаев с учащимися во время пребывания в школе</w:t>
      </w:r>
    </w:p>
    <w:p w:rsidR="007621D9" w:rsidRPr="007621D9" w:rsidRDefault="007621D9" w:rsidP="007621D9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1D9" w:rsidRPr="007621D9" w:rsidRDefault="007621D9" w:rsidP="007621D9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1D9">
        <w:rPr>
          <w:rFonts w:ascii="Tahoma" w:eastAsia="Times New Roman" w:hAnsi="Tahoma" w:cs="Tahoma"/>
          <w:b/>
          <w:bCs/>
          <w:color w:val="000080"/>
          <w:sz w:val="18"/>
          <w:lang w:eastAsia="ru-RU"/>
        </w:rPr>
        <w:t>Проведение санитарно-противоэпидемических и профилактических мероприятий</w:t>
      </w:r>
    </w:p>
    <w:p w:rsidR="007621D9" w:rsidRPr="007621D9" w:rsidRDefault="007621D9" w:rsidP="007621D9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621D9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7D7FEE" w:rsidRDefault="007621D9" w:rsidP="007621D9">
      <w:pPr>
        <w:spacing w:before="150" w:after="0" w:line="240" w:lineRule="auto"/>
        <w:ind w:right="75"/>
      </w:pPr>
      <w:r w:rsidRPr="007621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sectPr w:rsidR="007D7FEE" w:rsidSect="007D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D9"/>
    <w:rsid w:val="007621D9"/>
    <w:rsid w:val="007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1858</Words>
  <Characters>10591</Characters>
  <Application>Microsoft Office Word</Application>
  <DocSecurity>0</DocSecurity>
  <Lines>88</Lines>
  <Paragraphs>24</Paragraphs>
  <ScaleCrop>false</ScaleCrop>
  <Company>Microsoft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2020-03-10T10:35:00Z</dcterms:created>
  <dcterms:modified xsi:type="dcterms:W3CDTF">2020-03-10T10:37:00Z</dcterms:modified>
</cp:coreProperties>
</file>